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161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000000" w:rsidRDefault="00C52161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000000" w:rsidRDefault="00C52161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000000" w:rsidRDefault="00C52161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000000" w:rsidRDefault="00C52161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ПОСЛЕДИПЛОМНОГО ОБРАЗОВАНИЯ»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оссии)</w:t>
      </w:r>
    </w:p>
    <w:p w:rsidR="00000000" w:rsidRDefault="00C52161">
      <w:pPr>
        <w:spacing w:after="0" w:line="100" w:lineRule="atLeast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Кафедра онкологии</w:t>
      </w:r>
    </w:p>
    <w:p w:rsidR="00000000" w:rsidRDefault="00C52161">
      <w:pPr>
        <w:spacing w:after="0" w:line="100" w:lineRule="atLeast"/>
        <w:jc w:val="right"/>
        <w:rPr>
          <w:rFonts w:ascii="Times New Roman" w:hAnsi="Times New Roman"/>
          <w:sz w:val="12"/>
          <w:szCs w:val="12"/>
        </w:rPr>
      </w:pPr>
    </w:p>
    <w:p w:rsidR="00000000" w:rsidRDefault="00C5216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000000" w:rsidRDefault="00C52161">
      <w:pPr>
        <w:spacing w:after="0" w:line="100" w:lineRule="atLeast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>«Онкология»</w:t>
      </w:r>
    </w:p>
    <w:p w:rsidR="00000000" w:rsidRDefault="00C52161">
      <w:pPr>
        <w:spacing w:after="0" w:line="100" w:lineRule="atLeast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960"/>
        <w:gridCol w:w="5209"/>
      </w:tblGrid>
      <w:tr w:rsidR="00000000" w:rsidTr="00C52161">
        <w:trPr>
          <w:trHeight w:val="602"/>
        </w:trPr>
        <w:tc>
          <w:tcPr>
            <w:tcW w:w="49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 в аспирантуре</w:t>
            </w:r>
          </w:p>
        </w:tc>
      </w:tr>
      <w:tr w:rsidR="00000000" w:rsidTr="00C52161"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31.00.00 – клиническая мед</w:t>
            </w:r>
            <w:r>
              <w:rPr>
                <w:rFonts w:ascii="Times New Roman" w:hAnsi="Times New Roman"/>
                <w:sz w:val="24"/>
                <w:szCs w:val="24"/>
              </w:rPr>
              <w:t>ицина</w:t>
            </w:r>
          </w:p>
        </w:tc>
      </w:tr>
      <w:tr w:rsidR="00000000" w:rsidTr="00C52161">
        <w:trPr>
          <w:trHeight w:val="325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000000" w:rsidTr="00C52161">
        <w:trPr>
          <w:trHeight w:val="316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14.01.12 – онкология</w:t>
            </w:r>
          </w:p>
        </w:tc>
      </w:tr>
      <w:tr w:rsidR="00000000" w:rsidTr="00C52161">
        <w:trPr>
          <w:trHeight w:val="345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000000" w:rsidTr="00C52161">
        <w:trPr>
          <w:trHeight w:val="326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445490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</w:p>
          <w:p w:rsidR="00445490" w:rsidRDefault="004454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(кандидат медицинских наук)</w:t>
            </w:r>
          </w:p>
        </w:tc>
      </w:tr>
      <w:tr w:rsidR="00000000" w:rsidTr="00C52161">
        <w:trPr>
          <w:trHeight w:val="316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00000" w:rsidTr="00C52161">
        <w:trPr>
          <w:trHeight w:val="326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color w:val="002B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671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color w:val="002B00"/>
                <w:sz w:val="24"/>
                <w:szCs w:val="24"/>
              </w:rPr>
              <w:t>1 (1,</w:t>
            </w:r>
            <w:r>
              <w:rPr>
                <w:rFonts w:ascii="Times New Roman" w:hAnsi="Times New Roman"/>
                <w:color w:val="002B00"/>
                <w:sz w:val="24"/>
                <w:szCs w:val="24"/>
              </w:rPr>
              <w:t>25 ЗЕТ), 2 (1,25 ЗЕТ), 3 (0,</w:t>
            </w:r>
            <w:r w:rsidR="00EE09B4">
              <w:rPr>
                <w:rFonts w:ascii="Times New Roman" w:hAnsi="Times New Roman"/>
                <w:color w:val="002B00"/>
                <w:sz w:val="24"/>
                <w:szCs w:val="24"/>
              </w:rPr>
              <w:t>7</w:t>
            </w:r>
            <w:r w:rsidRPr="00502478"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5 ЗЕТ), 4 (0, </w:t>
            </w:r>
            <w:r w:rsidR="00EE09B4">
              <w:rPr>
                <w:rFonts w:ascii="Times New Roman" w:hAnsi="Times New Roman"/>
                <w:color w:val="002B00"/>
                <w:sz w:val="24"/>
                <w:szCs w:val="24"/>
              </w:rPr>
              <w:t>7</w:t>
            </w:r>
            <w:r w:rsidRPr="00502478">
              <w:rPr>
                <w:rFonts w:ascii="Times New Roman" w:hAnsi="Times New Roman"/>
                <w:color w:val="002B00"/>
                <w:sz w:val="24"/>
                <w:szCs w:val="24"/>
              </w:rPr>
              <w:t>5 ЗЕТ)</w:t>
            </w:r>
          </w:p>
        </w:tc>
      </w:tr>
      <w:tr w:rsidR="00000000" w:rsidTr="00C52161">
        <w:trPr>
          <w:trHeight w:val="325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00000" w:rsidTr="00C52161">
        <w:trPr>
          <w:trHeight w:val="326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 т.ч. аудиторных занятий, часов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00000" w:rsidTr="00C52161">
        <w:trPr>
          <w:trHeight w:val="335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00000" w:rsidTr="00C52161">
        <w:trPr>
          <w:trHeight w:val="316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000000" w:rsidTr="00C52161">
        <w:trPr>
          <w:trHeight w:val="336"/>
        </w:trPr>
        <w:tc>
          <w:tcPr>
            <w:tcW w:w="49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521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Pr="00445490" w:rsidRDefault="004454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00000" w:rsidRDefault="00C52161">
      <w:pPr>
        <w:numPr>
          <w:ilvl w:val="0"/>
          <w:numId w:val="1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раб</w:t>
      </w:r>
      <w:r>
        <w:rPr>
          <w:rFonts w:ascii="Times New Roman" w:hAnsi="Times New Roman"/>
          <w:sz w:val="24"/>
          <w:szCs w:val="24"/>
        </w:rPr>
        <w:t>очая дисциплина «Онкология» относится к специальным дисциплинам образовательной программы подготовки научно-педагогических кадров в аспирантуре по специальности 14.01.12 – «Онкология» (Заочное обучение).</w:t>
      </w:r>
    </w:p>
    <w:p w:rsidR="00000000" w:rsidRDefault="00C52161">
      <w:pPr>
        <w:numPr>
          <w:ilvl w:val="0"/>
          <w:numId w:val="1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подготовка научных и научно-педагог</w:t>
      </w:r>
      <w:r>
        <w:rPr>
          <w:rFonts w:ascii="Times New Roman" w:hAnsi="Times New Roman"/>
          <w:color w:val="000000"/>
          <w:sz w:val="24"/>
          <w:szCs w:val="24"/>
        </w:rPr>
        <w:t>ических кадров высшей квалификации в области онкологии для науки, образования, а также формирование у аспирантов компетенции в области онкологии, которая обеспечивает квалифицированную научную информационную и творческую деятельности научного работника</w:t>
      </w:r>
      <w:r>
        <w:rPr>
          <w:rFonts w:ascii="Times New Roman" w:hAnsi="Times New Roman"/>
          <w:color w:val="002B00"/>
          <w:sz w:val="24"/>
          <w:szCs w:val="24"/>
        </w:rPr>
        <w:t>.</w:t>
      </w:r>
    </w:p>
    <w:p w:rsidR="00000000" w:rsidRDefault="00C52161">
      <w:pPr>
        <w:numPr>
          <w:ilvl w:val="0"/>
          <w:numId w:val="1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формирование общекультурных и профессиональных компетенций, позволяющих проводить самостоятельную научно-исследовательскую и клиническую деятельность;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углубленное изучение теоретических и методологических основ онкологии;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совершенствовани</w:t>
      </w:r>
      <w:r>
        <w:rPr>
          <w:rFonts w:ascii="Times New Roman" w:hAnsi="Times New Roman"/>
          <w:color w:val="002B00"/>
          <w:sz w:val="24"/>
          <w:szCs w:val="24"/>
        </w:rPr>
        <w:t>е практических навыков;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eastAsia="Times New Roman" w:hAnsi="Times New Roman"/>
          <w:color w:val="002B00"/>
          <w:sz w:val="24"/>
          <w:szCs w:val="24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овладение современными методами обследования, диагностики и лечения 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онкологических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 больных;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2B00"/>
          <w:sz w:val="24"/>
          <w:szCs w:val="24"/>
          <w:lang w:eastAsia="ru-RU"/>
        </w:rPr>
        <w:t xml:space="preserve">формирование клинического мышления, базирующегося на методологических основах доказательной медицины. </w:t>
      </w:r>
    </w:p>
    <w:p w:rsidR="00000000" w:rsidRDefault="00C52161">
      <w:pPr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рабочей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Пояснительная записка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Квалификационные требования к аспиранту (научному сотруднику)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Учебный план дисциплины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Учебно-тематический план дисциплины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Теоретические разделы курса (лекции)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Практические разделы курса (семинары и практические занятия)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Самостоятель</w:t>
      </w:r>
      <w:r>
        <w:rPr>
          <w:rFonts w:ascii="Times New Roman" w:hAnsi="Times New Roman"/>
          <w:color w:val="002B00"/>
          <w:sz w:val="24"/>
          <w:szCs w:val="24"/>
        </w:rPr>
        <w:t>ная работа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Темы рефератов</w:t>
      </w:r>
    </w:p>
    <w:p w:rsidR="00000000" w:rsidRDefault="00C52161">
      <w:pPr>
        <w:numPr>
          <w:ilvl w:val="0"/>
          <w:numId w:val="3"/>
        </w:numPr>
        <w:tabs>
          <w:tab w:val="left" w:pos="1134"/>
          <w:tab w:val="left" w:pos="1191"/>
          <w:tab w:val="left" w:pos="1433"/>
        </w:tabs>
        <w:spacing w:after="0" w:line="100" w:lineRule="atLeast"/>
        <w:jc w:val="both"/>
        <w:rPr>
          <w:rFonts w:ascii="Times New Roman" w:hAnsi="Times New Roman"/>
          <w:b/>
          <w:color w:val="002B00"/>
          <w:sz w:val="12"/>
          <w:szCs w:val="12"/>
        </w:rPr>
      </w:pPr>
      <w:r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</w:p>
    <w:p w:rsidR="00000000" w:rsidRDefault="00C52161">
      <w:pPr>
        <w:tabs>
          <w:tab w:val="left" w:pos="1134"/>
          <w:tab w:val="left" w:pos="1191"/>
        </w:tabs>
        <w:spacing w:after="0" w:line="100" w:lineRule="atLeast"/>
        <w:ind w:left="709"/>
        <w:jc w:val="right"/>
        <w:rPr>
          <w:rFonts w:ascii="Times New Roman" w:hAnsi="Times New Roman"/>
          <w:b/>
          <w:color w:val="002B00"/>
          <w:sz w:val="12"/>
          <w:szCs w:val="12"/>
        </w:rPr>
      </w:pPr>
    </w:p>
    <w:p w:rsidR="00000000" w:rsidRDefault="00C52161">
      <w:pPr>
        <w:tabs>
          <w:tab w:val="left" w:pos="1134"/>
          <w:tab w:val="left" w:pos="1191"/>
        </w:tabs>
        <w:spacing w:after="0" w:line="100" w:lineRule="atLeast"/>
        <w:ind w:left="709"/>
        <w:jc w:val="right"/>
      </w:pPr>
      <w:r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нкологии проф. </w:t>
      </w:r>
      <w:proofErr w:type="spellStart"/>
      <w:r>
        <w:rPr>
          <w:rFonts w:ascii="Times New Roman" w:hAnsi="Times New Roman"/>
          <w:color w:val="002B00"/>
          <w:sz w:val="24"/>
          <w:szCs w:val="24"/>
        </w:rPr>
        <w:t>Дворниченко</w:t>
      </w:r>
      <w:proofErr w:type="spellEnd"/>
      <w:r>
        <w:rPr>
          <w:rFonts w:ascii="Times New Roman" w:hAnsi="Times New Roman"/>
          <w:color w:val="002B00"/>
          <w:sz w:val="24"/>
          <w:szCs w:val="24"/>
        </w:rPr>
        <w:t xml:space="preserve"> В.В.</w:t>
      </w:r>
    </w:p>
    <w:sectPr w:rsidR="00000000">
      <w:pgSz w:w="11906" w:h="16838"/>
      <w:pgMar w:top="582" w:right="607" w:bottom="720" w:left="592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90"/>
    <w:rsid w:val="00445490"/>
    <w:rsid w:val="00C52161"/>
    <w:rsid w:val="00C671A9"/>
    <w:rsid w:val="00EE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3">
    <w:name w:val="Текст примечания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Lohit Hindi"/>
    </w:rPr>
  </w:style>
  <w:style w:type="paragraph" w:customStyle="1" w:styleId="annotationtext">
    <w:name w:val="annotation text"/>
    <w:basedOn w:val="a"/>
    <w:pPr>
      <w:spacing w:after="0"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kern w:val="1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0">
    <w:name w:val="Обычный1"/>
    <w:pPr>
      <w:widowControl w:val="0"/>
      <w:suppressAutoHyphens/>
      <w:spacing w:line="319" w:lineRule="auto"/>
      <w:ind w:firstLine="400"/>
      <w:jc w:val="both"/>
    </w:pPr>
    <w:rPr>
      <w:kern w:val="1"/>
      <w:sz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текст"/>
    <w:basedOn w:val="a"/>
    <w:pPr>
      <w:tabs>
        <w:tab w:val="left" w:pos="1191"/>
        <w:tab w:val="left" w:pos="1418"/>
      </w:tabs>
      <w:spacing w:after="120"/>
      <w:ind w:firstLine="720"/>
      <w:jc w:val="both"/>
    </w:pPr>
    <w:rPr>
      <w:sz w:val="24"/>
    </w:rPr>
  </w:style>
  <w:style w:type="paragraph" w:customStyle="1" w:styleId="ae">
    <w:name w:val="т_маркер"/>
    <w:basedOn w:val="ad"/>
    <w:pPr>
      <w:numPr>
        <w:numId w:val="2"/>
      </w:numPr>
      <w:tabs>
        <w:tab w:val="left" w:pos="1095"/>
      </w:tabs>
      <w:autoSpaceDE w:val="0"/>
      <w:spacing w:after="0"/>
      <w:ind w:left="1094" w:hanging="374"/>
    </w:pPr>
    <w:rPr>
      <w:szCs w:val="24"/>
    </w:rPr>
  </w:style>
  <w:style w:type="paragraph" w:customStyle="1" w:styleId="3">
    <w:name w:val="Стиль3"/>
    <w:basedOn w:val="a"/>
    <w:pPr>
      <w:spacing w:after="1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GIDUV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3</cp:revision>
  <cp:lastPrinted>2014-01-22T12:59:00Z</cp:lastPrinted>
  <dcterms:created xsi:type="dcterms:W3CDTF">2014-01-23T02:25:00Z</dcterms:created>
  <dcterms:modified xsi:type="dcterms:W3CDTF">2014-01-23T02:25:00Z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